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A80000"/>
          <w:sz w:val="44"/>
        </w:rPr>
        <w:t>VELOX CONEKT 365</w:t>
        <w:br/>
        <w:t>Privacy Policy</w:t>
      </w:r>
    </w:p>
    <w:p>
      <w:pPr>
        <w:jc w:val="center"/>
      </w:pPr>
      <w:r>
        <w:rPr>
          <w:rFonts w:ascii="Arial" w:hAnsi="Arial"/>
          <w:b/>
          <w:sz w:val="20"/>
        </w:rPr>
        <w:t>Last updated: May 13, 2026</w:t>
      </w:r>
    </w:p>
    <w:p>
      <w:pPr>
        <w:jc w:val="left"/>
      </w:pPr>
      <w:r>
        <w:t>This Privacy Policy explains how VELOX Life Safety Inc. ("VELOX", "we", "us", or "our") collects, uses, discloses, stores, and protects personal information when you use the VELOX CONEKT 365 mobile application, related connected-device functions, websites that link to this Privacy Policy, and related support services (collectively, the "Services").</w:t>
      </w:r>
    </w:p>
    <w:p>
      <w:r>
        <w:t>VELOX is based in Canada and makes the Services available in Canada and selected Gulf Cooperation Council ("GCC") markets, including Bahrain, Kuwait, Oman, Qatar, Saudi Arabia, and the United Arab Emirates where the Services are offered. This Privacy Policy is intended to support compliance with applicable privacy and data protection laws in those markets, including Canadian privacy law and applicable GCC privacy laws. If local law gives you additional rights, we will respect those rights.</w:t>
      </w:r>
    </w:p>
    <w:tbl>
      <w:tblPr>
        <w:tblW w:type="auto" w:w="0"/>
        <w:jc w:val="center"/>
        <w:tblLayout w:type="autofit"/>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0166"/>
      </w:tblGrid>
      <w:tr>
        <w:tc>
          <w:tcPr>
            <w:tcW w:type="dxa" w:w="10166"/>
            <w:shd w:fill="F2F2F2"/>
          </w:tcPr>
          <w:p>
            <w:pPr>
              <w:spacing w:after="60"/>
            </w:pPr>
            <w:r>
              <w:rPr>
                <w:rFonts w:ascii="Arial" w:hAnsi="Arial"/>
                <w:b/>
                <w:sz w:val="20"/>
              </w:rPr>
              <w:t>Important life-safety note</w:t>
            </w:r>
            <w:r>
              <w:rPr>
                <w:sz w:val="18"/>
              </w:rPr>
              <w:br/>
              <w:t>App notifications may support monitoring and service awareness, but they do not replace fire alarm panels, building life-safety procedures, emergency response systems, or instructions from local authorities. Always follow applicable fire safety procedures and emergency instructions.</w:t>
            </w:r>
          </w:p>
        </w:tc>
      </w:tr>
    </w:tbl>
    <w:p>
      <w:pPr>
        <w:pStyle w:val="Heading1"/>
      </w:pPr>
      <w:r>
        <w:t>1. Who is responsible for your personal information?</w:t>
      </w:r>
    </w:p>
    <w:p>
      <w:r>
        <w:t>VELOX Life Safety Inc. is responsible for personal information processed through the Services unless another organization is clearly identified as responsible for a specific function. For privacy questions or requests, contact:</w:t>
      </w:r>
    </w:p>
    <w:p>
      <w:pPr>
        <w:pStyle w:val="ListBullet"/>
        <w:spacing w:after="60"/>
      </w:pPr>
      <w:r>
        <w:rPr>
          <w:b/>
        </w:rPr>
        <w:t xml:space="preserve">Company: </w:t>
      </w:r>
      <w:r>
        <w:t>VELOX Life Safety Inc.</w:t>
      </w:r>
    </w:p>
    <w:p>
      <w:pPr>
        <w:pStyle w:val="ListBullet"/>
        <w:spacing w:after="60"/>
      </w:pPr>
      <w:r>
        <w:rPr>
          <w:b/>
        </w:rPr>
        <w:t xml:space="preserve">Mailing address: </w:t>
      </w:r>
      <w:r>
        <w:t>27 Terracon Place, Winnipeg, Manitoba, R2J 4B3, Canada</w:t>
      </w:r>
    </w:p>
    <w:p>
      <w:pPr>
        <w:pStyle w:val="ListBullet"/>
        <w:spacing w:after="60"/>
      </w:pPr>
      <w:r>
        <w:rPr>
          <w:b/>
        </w:rPr>
        <w:t xml:space="preserve">Email: </w:t>
      </w:r>
      <w:r>
        <w:t>info@velox.ca</w:t>
      </w:r>
    </w:p>
    <w:p>
      <w:pPr>
        <w:pStyle w:val="ListBullet"/>
        <w:spacing w:after="60"/>
      </w:pPr>
      <w:r>
        <w:rPr>
          <w:b/>
        </w:rPr>
        <w:t xml:space="preserve">Phone: </w:t>
      </w:r>
      <w:r>
        <w:t>+1 204 306 3930</w:t>
      </w:r>
    </w:p>
    <w:p>
      <w:pPr>
        <w:pStyle w:val="ListBullet"/>
        <w:spacing w:after="60"/>
      </w:pPr>
      <w:r>
        <w:rPr>
          <w:b/>
        </w:rPr>
        <w:t xml:space="preserve">Attention: </w:t>
      </w:r>
      <w:r>
        <w:t>Chief Information Officer / Privacy Contact</w:t>
      </w:r>
    </w:p>
    <w:p>
      <w:pPr>
        <w:pStyle w:val="Heading1"/>
      </w:pPr>
      <w:r>
        <w:t>2. Personal information we collect and why</w:t>
      </w:r>
    </w:p>
    <w:p>
      <w:r>
        <w:t>We limit collection to information reasonably needed to provide, secure, support, and improve the Services. The exact information collected depends on how you use the App, your device settings, and the permissions you choose to grant.</w:t>
      </w:r>
    </w:p>
    <w:tbl>
      <w:tblPr>
        <w:tblW w:type="auto" w:w="0"/>
        <w:jc w:val="center"/>
        <w:tblLayout w:type="autofit"/>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389"/>
        <w:gridCol w:w="3389"/>
        <w:gridCol w:w="3389"/>
      </w:tblGrid>
      <w:tr>
        <w:trPr>
          <w:tblHeader w:val="true"/>
          <w:cantSplit/>
        </w:trPr>
        <w:tc>
          <w:tcPr>
            <w:tcW w:type="dxa" w:w="3389"/>
            <w:shd w:fill="D9EAF7"/>
            <w:vAlign w:val="center"/>
          </w:tcPr>
          <w:p>
            <w:pPr>
              <w:spacing w:after="0"/>
            </w:pPr>
            <w:r/>
            <w:r>
              <w:rPr>
                <w:rFonts w:ascii="Arial" w:hAnsi="Arial"/>
                <w:b/>
                <w:sz w:val="18"/>
              </w:rPr>
              <w:t>Category</w:t>
            </w:r>
          </w:p>
        </w:tc>
        <w:tc>
          <w:tcPr>
            <w:tcW w:type="dxa" w:w="3389"/>
            <w:shd w:fill="D9EAF7"/>
            <w:vAlign w:val="center"/>
          </w:tcPr>
          <w:p>
            <w:pPr>
              <w:spacing w:after="0"/>
            </w:pPr>
            <w:r/>
            <w:r>
              <w:rPr>
                <w:rFonts w:ascii="Arial" w:hAnsi="Arial"/>
                <w:b/>
                <w:sz w:val="18"/>
              </w:rPr>
              <w:t>Examples of information</w:t>
            </w:r>
          </w:p>
        </w:tc>
        <w:tc>
          <w:tcPr>
            <w:tcW w:type="dxa" w:w="3389"/>
            <w:shd w:fill="D9EAF7"/>
            <w:vAlign w:val="center"/>
          </w:tcPr>
          <w:p>
            <w:pPr>
              <w:spacing w:after="0"/>
            </w:pPr>
            <w:r/>
            <w:r>
              <w:rPr>
                <w:rFonts w:ascii="Arial" w:hAnsi="Arial"/>
                <w:b/>
                <w:sz w:val="18"/>
              </w:rPr>
              <w:t>Main purposes</w:t>
            </w:r>
          </w:p>
        </w:tc>
      </w:tr>
      <w:tr>
        <w:trPr>
          <w:cantSplit/>
        </w:trPr>
        <w:tc>
          <w:tcPr>
            <w:tcW w:type="dxa" w:w="3389"/>
            <w:vAlign w:val="top"/>
          </w:tcPr>
          <w:p>
            <w:pPr>
              <w:spacing w:after="0"/>
            </w:pPr>
            <w:r/>
            <w:r>
              <w:rPr>
                <w:rFonts w:ascii="Arial" w:hAnsi="Arial"/>
                <w:b w:val="0"/>
                <w:sz w:val="17"/>
              </w:rPr>
              <w:t>Account and profile information</w:t>
            </w:r>
          </w:p>
        </w:tc>
        <w:tc>
          <w:tcPr>
            <w:tcW w:type="dxa" w:w="3389"/>
            <w:vAlign w:val="top"/>
          </w:tcPr>
          <w:p>
            <w:pPr>
              <w:spacing w:after="0"/>
            </w:pPr>
            <w:r/>
            <w:r>
              <w:rPr>
                <w:rFonts w:ascii="Arial" w:hAnsi="Arial"/>
                <w:b w:val="0"/>
                <w:sz w:val="17"/>
              </w:rPr>
              <w:t>Name, nickname, email address, telephone number, country/region, login credentials stored in protected or hashed form, user role, company or organization details, and profile photo if you choose to add one.</w:t>
            </w:r>
          </w:p>
        </w:tc>
        <w:tc>
          <w:tcPr>
            <w:tcW w:type="dxa" w:w="3389"/>
            <w:vAlign w:val="top"/>
          </w:tcPr>
          <w:p>
            <w:pPr>
              <w:spacing w:after="0"/>
            </w:pPr>
            <w:r/>
            <w:r>
              <w:rPr>
                <w:rFonts w:ascii="Arial" w:hAnsi="Arial"/>
                <w:b w:val="0"/>
                <w:sz w:val="17"/>
              </w:rPr>
              <w:t>Create and administer your account; authenticate users; provide user management; communicate service messages; support account recovery and security.</w:t>
            </w:r>
          </w:p>
        </w:tc>
      </w:tr>
      <w:tr>
        <w:trPr>
          <w:cantSplit/>
        </w:trPr>
        <w:tc>
          <w:tcPr>
            <w:tcW w:type="dxa" w:w="3389"/>
            <w:vAlign w:val="top"/>
          </w:tcPr>
          <w:p>
            <w:pPr>
              <w:spacing w:after="0"/>
            </w:pPr>
            <w:r/>
            <w:r>
              <w:rPr>
                <w:rFonts w:ascii="Arial" w:hAnsi="Arial"/>
                <w:b w:val="0"/>
                <w:sz w:val="17"/>
              </w:rPr>
              <w:t>Device and system information</w:t>
            </w:r>
          </w:p>
        </w:tc>
        <w:tc>
          <w:tcPr>
            <w:tcW w:type="dxa" w:w="3389"/>
            <w:vAlign w:val="top"/>
          </w:tcPr>
          <w:p>
            <w:pPr>
              <w:spacing w:after="0"/>
            </w:pPr>
            <w:r/>
            <w:r>
              <w:rPr>
                <w:rFonts w:ascii="Arial" w:hAnsi="Arial"/>
                <w:b w:val="0"/>
                <w:sz w:val="17"/>
              </w:rPr>
              <w:t>Device serial number, model, device name, firmware/software version, panel or gateway identifiers, device configuration, time zone, network configuration data, online/offline status, and linked site or project identifiers.</w:t>
            </w:r>
          </w:p>
        </w:tc>
        <w:tc>
          <w:tcPr>
            <w:tcW w:type="dxa" w:w="3389"/>
            <w:vAlign w:val="top"/>
          </w:tcPr>
          <w:p>
            <w:pPr>
              <w:spacing w:after="0"/>
            </w:pPr>
            <w:r/>
            <w:r>
              <w:rPr>
                <w:rFonts w:ascii="Arial" w:hAnsi="Arial"/>
                <w:b w:val="0"/>
                <w:sz w:val="17"/>
              </w:rPr>
              <w:t>Register, pair, configure, maintain, and manage compatible VELOX devices; provide alarm/service information; troubleshoot device issues; maintain service reliability.</w:t>
            </w:r>
          </w:p>
        </w:tc>
      </w:tr>
      <w:tr>
        <w:trPr>
          <w:cantSplit/>
        </w:trPr>
        <w:tc>
          <w:tcPr>
            <w:tcW w:type="dxa" w:w="3389"/>
            <w:vAlign w:val="top"/>
          </w:tcPr>
          <w:p>
            <w:pPr>
              <w:spacing w:after="0"/>
            </w:pPr>
            <w:r/>
            <w:r>
              <w:rPr>
                <w:rFonts w:ascii="Arial" w:hAnsi="Arial"/>
                <w:b w:val="0"/>
                <w:sz w:val="17"/>
              </w:rPr>
              <w:t>App permissions and mobile device access</w:t>
            </w:r>
          </w:p>
        </w:tc>
        <w:tc>
          <w:tcPr>
            <w:tcW w:type="dxa" w:w="3389"/>
            <w:vAlign w:val="top"/>
          </w:tcPr>
          <w:p>
            <w:pPr>
              <w:spacing w:after="0"/>
            </w:pPr>
            <w:r/>
            <w:r>
              <w:rPr>
                <w:rFonts w:ascii="Arial" w:hAnsi="Arial"/>
                <w:b w:val="0"/>
                <w:sz w:val="17"/>
              </w:rPr>
              <w:t>Camera permission; photo library permission; local network permission; location permission; push notification permission. The current version of VELOX CONEKT 365 does not require Bluetooth permission.</w:t>
            </w:r>
          </w:p>
        </w:tc>
        <w:tc>
          <w:tcPr>
            <w:tcW w:type="dxa" w:w="3389"/>
            <w:vAlign w:val="top"/>
          </w:tcPr>
          <w:p>
            <w:pPr>
              <w:spacing w:after="0"/>
            </w:pPr>
            <w:r/>
            <w:r>
              <w:rPr>
                <w:rFonts w:ascii="Arial" w:hAnsi="Arial"/>
                <w:b w:val="0"/>
                <w:sz w:val="17"/>
              </w:rPr>
              <w:t>Camera is used to scan device QR codes and, if you choose, take or update a profile photo. Photo library access is used only when you choose to upload or change your profile photo. Local network access is used to discover or connect compatible devices on the same network. Location access is used only where required for device pairing, network configuration, regional settings, or operating-system requirements. Push notifications are used to send alarm alerts, service alerts, and important App notifications.</w:t>
            </w:r>
          </w:p>
        </w:tc>
      </w:tr>
      <w:tr>
        <w:trPr>
          <w:cantSplit/>
        </w:trPr>
        <w:tc>
          <w:tcPr>
            <w:tcW w:type="dxa" w:w="3389"/>
            <w:vAlign w:val="top"/>
          </w:tcPr>
          <w:p>
            <w:pPr>
              <w:spacing w:after="0"/>
            </w:pPr>
            <w:r/>
            <w:r>
              <w:rPr>
                <w:rFonts w:ascii="Arial" w:hAnsi="Arial"/>
                <w:b w:val="0"/>
                <w:sz w:val="17"/>
              </w:rPr>
              <w:t>Alarm, service, and notification data</w:t>
            </w:r>
          </w:p>
        </w:tc>
        <w:tc>
          <w:tcPr>
            <w:tcW w:type="dxa" w:w="3389"/>
            <w:vAlign w:val="top"/>
          </w:tcPr>
          <w:p>
            <w:pPr>
              <w:spacing w:after="0"/>
            </w:pPr>
            <w:r/>
            <w:r>
              <w:rPr>
                <w:rFonts w:ascii="Arial" w:hAnsi="Arial"/>
                <w:b w:val="0"/>
                <w:sz w:val="17"/>
              </w:rPr>
              <w:t>Alarm type or event type, device/site labels, event status, timestamps, notification tokens, acknowledgment or activity records, and service messages.</w:t>
            </w:r>
          </w:p>
        </w:tc>
        <w:tc>
          <w:tcPr>
            <w:tcW w:type="dxa" w:w="3389"/>
            <w:vAlign w:val="top"/>
          </w:tcPr>
          <w:p>
            <w:pPr>
              <w:spacing w:after="0"/>
            </w:pPr>
            <w:r/>
            <w:r>
              <w:rPr>
                <w:rFonts w:ascii="Arial" w:hAnsi="Arial"/>
                <w:b w:val="0"/>
                <w:sz w:val="17"/>
              </w:rPr>
              <w:t>Deliver alerts and service notifications; show event history; help users and support teams understand device or service status; maintain audit and troubleshooting records.</w:t>
            </w:r>
          </w:p>
        </w:tc>
      </w:tr>
      <w:tr>
        <w:trPr>
          <w:cantSplit/>
        </w:trPr>
        <w:tc>
          <w:tcPr>
            <w:tcW w:type="dxa" w:w="3389"/>
            <w:vAlign w:val="top"/>
          </w:tcPr>
          <w:p>
            <w:pPr>
              <w:spacing w:after="0"/>
            </w:pPr>
            <w:r/>
            <w:r>
              <w:rPr>
                <w:rFonts w:ascii="Arial" w:hAnsi="Arial"/>
                <w:b w:val="0"/>
                <w:sz w:val="17"/>
              </w:rPr>
              <w:t>Technical, diagnostic, and security information</w:t>
            </w:r>
          </w:p>
        </w:tc>
        <w:tc>
          <w:tcPr>
            <w:tcW w:type="dxa" w:w="3389"/>
            <w:vAlign w:val="top"/>
          </w:tcPr>
          <w:p>
            <w:pPr>
              <w:spacing w:after="0"/>
            </w:pPr>
            <w:r/>
            <w:r>
              <w:rPr>
                <w:rFonts w:ascii="Arial" w:hAnsi="Arial"/>
                <w:b w:val="0"/>
                <w:sz w:val="17"/>
              </w:rPr>
              <w:t>IP address, device type, operating system, App version, unique app/device identifiers, log files, crash reports, performance data, access time, and security events.</w:t>
            </w:r>
          </w:p>
        </w:tc>
        <w:tc>
          <w:tcPr>
            <w:tcW w:type="dxa" w:w="3389"/>
            <w:vAlign w:val="top"/>
          </w:tcPr>
          <w:p>
            <w:pPr>
              <w:spacing w:after="0"/>
            </w:pPr>
            <w:r/>
            <w:r>
              <w:rPr>
                <w:rFonts w:ascii="Arial" w:hAnsi="Arial"/>
                <w:b w:val="0"/>
                <w:sz w:val="17"/>
              </w:rPr>
              <w:t>Keep the Services secure and operational; diagnose errors; prevent misuse; improve reliability; support audits and incident response.</w:t>
            </w:r>
          </w:p>
        </w:tc>
      </w:tr>
      <w:tr>
        <w:trPr>
          <w:cantSplit/>
        </w:trPr>
        <w:tc>
          <w:tcPr>
            <w:tcW w:type="dxa" w:w="3389"/>
            <w:vAlign w:val="top"/>
          </w:tcPr>
          <w:p>
            <w:pPr>
              <w:spacing w:after="0"/>
            </w:pPr>
            <w:r/>
            <w:r>
              <w:rPr>
                <w:rFonts w:ascii="Arial" w:hAnsi="Arial"/>
                <w:b w:val="0"/>
                <w:sz w:val="17"/>
              </w:rPr>
              <w:t>Support and communications</w:t>
            </w:r>
          </w:p>
        </w:tc>
        <w:tc>
          <w:tcPr>
            <w:tcW w:type="dxa" w:w="3389"/>
            <w:vAlign w:val="top"/>
          </w:tcPr>
          <w:p>
            <w:pPr>
              <w:spacing w:after="0"/>
            </w:pPr>
            <w:r/>
            <w:r>
              <w:rPr>
                <w:rFonts w:ascii="Arial" w:hAnsi="Arial"/>
                <w:b w:val="0"/>
                <w:sz w:val="17"/>
              </w:rPr>
              <w:t>Messages, emails, feedback, support tickets, call notes, attachments you choose to send, and contact details used to respond to you.</w:t>
            </w:r>
          </w:p>
        </w:tc>
        <w:tc>
          <w:tcPr>
            <w:tcW w:type="dxa" w:w="3389"/>
            <w:vAlign w:val="top"/>
          </w:tcPr>
          <w:p>
            <w:pPr>
              <w:spacing w:after="0"/>
            </w:pPr>
            <w:r/>
            <w:r>
              <w:rPr>
                <w:rFonts w:ascii="Arial" w:hAnsi="Arial"/>
                <w:b w:val="0"/>
                <w:sz w:val="17"/>
              </w:rPr>
              <w:t>Respond to questions; investigate issues; provide technical support; improve training, product documentation, and customer service.</w:t>
            </w:r>
          </w:p>
        </w:tc>
      </w:tr>
      <w:tr>
        <w:trPr>
          <w:cantSplit/>
        </w:trPr>
        <w:tc>
          <w:tcPr>
            <w:tcW w:type="dxa" w:w="3389"/>
            <w:vAlign w:val="top"/>
          </w:tcPr>
          <w:p>
            <w:pPr>
              <w:spacing w:after="0"/>
            </w:pPr>
            <w:r/>
            <w:r>
              <w:rPr>
                <w:rFonts w:ascii="Arial" w:hAnsi="Arial"/>
                <w:b w:val="0"/>
                <w:sz w:val="17"/>
              </w:rPr>
              <w:t>Website and cookie-related information</w:t>
            </w:r>
          </w:p>
        </w:tc>
        <w:tc>
          <w:tcPr>
            <w:tcW w:type="dxa" w:w="3389"/>
            <w:vAlign w:val="top"/>
          </w:tcPr>
          <w:p>
            <w:pPr>
              <w:spacing w:after="0"/>
            </w:pPr>
            <w:r/>
            <w:r>
              <w:rPr>
                <w:rFonts w:ascii="Arial" w:hAnsi="Arial"/>
                <w:b w:val="0"/>
                <w:sz w:val="17"/>
              </w:rPr>
              <w:t>When you visit VELOX websites that link to this Privacy Policy, our website or hosting provider may collect IP address, browser/device information, pages visited, referring URLs, access time, and cookies or similar technologies used for essential functionality, security, preferences, or analytics if enabled.</w:t>
            </w:r>
          </w:p>
        </w:tc>
        <w:tc>
          <w:tcPr>
            <w:tcW w:type="dxa" w:w="3389"/>
            <w:vAlign w:val="top"/>
          </w:tcPr>
          <w:p>
            <w:pPr>
              <w:spacing w:after="0"/>
            </w:pPr>
            <w:r/>
            <w:r>
              <w:rPr>
                <w:rFonts w:ascii="Arial" w:hAnsi="Arial"/>
                <w:b w:val="0"/>
                <w:sz w:val="17"/>
              </w:rPr>
              <w:t>Operate and secure the website; respond to inquiries; understand website usage; improve website content and performance.</w:t>
            </w:r>
          </w:p>
        </w:tc>
      </w:tr>
    </w:tbl>
    <w:p/>
    <w:p>
      <w:pPr>
        <w:pStyle w:val="Heading1"/>
      </w:pPr>
      <w:r>
        <w:t>3. Information we do not collect through the current App</w:t>
      </w:r>
    </w:p>
    <w:p>
      <w:pPr>
        <w:pStyle w:val="ListBullet"/>
        <w:spacing w:after="60"/>
      </w:pPr>
      <w:r>
        <w:t>VELOX CONEKT 365 does not currently provide paid services, in-app purchases, subscriptions, payment plans, gift cards, or payment processing through the App.</w:t>
      </w:r>
    </w:p>
    <w:p>
      <w:pPr>
        <w:pStyle w:val="ListBullet"/>
        <w:spacing w:after="60"/>
      </w:pPr>
      <w:r>
        <w:t>We do not collect or store payment card numbers, bank account details, or payment processor references through the App.</w:t>
      </w:r>
    </w:p>
    <w:p>
      <w:pPr>
        <w:pStyle w:val="ListBullet"/>
        <w:spacing w:after="60"/>
      </w:pPr>
      <w:r>
        <w:t>The current App does not require Bluetooth permission.</w:t>
      </w:r>
    </w:p>
    <w:p>
      <w:pPr>
        <w:pStyle w:val="ListBullet"/>
        <w:spacing w:after="60"/>
      </w:pPr>
      <w:r>
        <w:t>The current App is not designed to collect live video streams, video recordings, biometric identifiers, vehicle licence plate numbers, or AI recognition data. If a future version adds materially different features, we will update this Privacy Policy and provide any required notice or consent.</w:t>
      </w:r>
    </w:p>
    <w:p>
      <w:pPr>
        <w:pStyle w:val="Heading1"/>
      </w:pPr>
      <w:r>
        <w:t>4. How we use personal information</w:t>
      </w:r>
    </w:p>
    <w:p>
      <w:pPr>
        <w:pStyle w:val="ListBullet"/>
        <w:spacing w:after="60"/>
      </w:pPr>
      <w:r>
        <w:t>To create, manage, authenticate, and secure user accounts.</w:t>
      </w:r>
    </w:p>
    <w:p>
      <w:pPr>
        <w:pStyle w:val="ListBullet"/>
        <w:spacing w:after="60"/>
      </w:pPr>
      <w:r>
        <w:t>To pair, configure, monitor, and support compatible VELOX devices and systems.</w:t>
      </w:r>
    </w:p>
    <w:p>
      <w:pPr>
        <w:pStyle w:val="ListBullet"/>
        <w:spacing w:after="60"/>
      </w:pPr>
      <w:r>
        <w:t>To provide alarm alerts, service alerts, push notifications, status information, and related App functions.</w:t>
      </w:r>
    </w:p>
    <w:p>
      <w:pPr>
        <w:pStyle w:val="ListBullet"/>
        <w:spacing w:after="60"/>
      </w:pPr>
      <w:r>
        <w:t>To provide customer service, technical support, troubleshooting, training, and product maintenance.</w:t>
      </w:r>
    </w:p>
    <w:p>
      <w:pPr>
        <w:pStyle w:val="ListBullet"/>
        <w:spacing w:after="60"/>
      </w:pPr>
      <w:r>
        <w:t>To maintain security, detect misuse, investigate incidents, prevent unauthorized access, and protect the rights, safety, and property of users, customers, VELOX, and others.</w:t>
      </w:r>
    </w:p>
    <w:p>
      <w:pPr>
        <w:pStyle w:val="ListBullet"/>
        <w:spacing w:after="60"/>
      </w:pPr>
      <w:r>
        <w:t>To improve the reliability, usability, and performance of the Services, preferably using aggregated or de-identified information where practical.</w:t>
      </w:r>
    </w:p>
    <w:p>
      <w:pPr>
        <w:pStyle w:val="ListBullet"/>
        <w:spacing w:after="60"/>
      </w:pPr>
      <w:r>
        <w:t>To comply with applicable laws, regulations, court orders, government requests, contractual obligations, audits, and enforcement of agreements.</w:t>
      </w:r>
    </w:p>
    <w:p>
      <w:pPr>
        <w:pStyle w:val="Heading1"/>
      </w:pPr>
      <w:r>
        <w:t>5. Legal basis and consent</w:t>
      </w:r>
    </w:p>
    <w:p>
      <w:r>
        <w:t>Depending on the jurisdiction and the specific purpose, we process personal information based on one or more of the following grounds: your consent; the need to provide the Services or perform an agreement with you or your organization; our legitimate business interests in operating, securing, supporting, and improving the Services; compliance with legal obligations; protection of vital interests or safety; and other grounds permitted by applicable law.</w:t>
      </w:r>
    </w:p>
    <w:p>
      <w:r>
        <w:t>You can control many App permissions through your device settings. If you disable certain permissions, some App functions may not work properly. We do not use location permission to track your real-time location or for advertising. Location access is requested only where needed for device pairing, network configuration, regional settings, or operating-system requirements.</w:t>
      </w:r>
    </w:p>
    <w:p>
      <w:pPr>
        <w:pStyle w:val="Heading1"/>
      </w:pPr>
      <w:r>
        <w:t>6. How we share personal information</w:t>
      </w:r>
    </w:p>
    <w:p>
      <w:r>
        <w:t>We do not sell personal information. We may disclose personal information only as reasonably required for the purposes described in this Privacy Policy, including to:</w:t>
      </w:r>
    </w:p>
    <w:p>
      <w:pPr>
        <w:pStyle w:val="ListBullet"/>
        <w:spacing w:after="60"/>
      </w:pPr>
      <w:r>
        <w:rPr>
          <w:b/>
        </w:rPr>
        <w:t xml:space="preserve">VELOX group companies, authorized distributors, installers, and customer administrators: </w:t>
      </w:r>
      <w:r>
        <w:t>to provide, administer, install, maintain, and support the Services and compatible devices.</w:t>
      </w:r>
    </w:p>
    <w:p>
      <w:pPr>
        <w:pStyle w:val="ListBullet"/>
        <w:spacing w:after="60"/>
      </w:pPr>
      <w:r>
        <w:rPr>
          <w:b/>
        </w:rPr>
        <w:t>Service providers:</w:t>
      </w:r>
      <w:r>
        <w:t xml:space="preserve"> to provide hosting, cloud infrastructure, maintenance, technical support, communications, analytics, security, and other operational services. These providers must process personal information only as instructed by VELOX and protect it with appropriate safeguards.</w:t>
      </w:r>
    </w:p>
    <w:p>
      <w:pPr>
        <w:pStyle w:val="ListBullet"/>
        <w:spacing w:after="60"/>
      </w:pPr>
      <w:r>
        <w:rPr>
          <w:b/>
        </w:rPr>
        <w:t xml:space="preserve">Authorities, regulators, courts, or emergency-related bodies: </w:t>
      </w:r>
      <w:r>
        <w:t>where required or permitted by law, or where necessary to protect rights, safety, property, or security.</w:t>
      </w:r>
    </w:p>
    <w:p>
      <w:pPr>
        <w:pStyle w:val="ListBullet"/>
        <w:spacing w:after="60"/>
      </w:pPr>
      <w:r>
        <w:rPr>
          <w:b/>
        </w:rPr>
        <w:t xml:space="preserve">Business transaction parties: </w:t>
      </w:r>
      <w:r>
        <w:t>if VELOX is involved in a merger, acquisition, financing, reorganization, sale of assets, or similar transaction, subject to appropriate confidentiality and data protection safeguards.</w:t>
      </w:r>
    </w:p>
    <w:p>
      <w:pPr>
        <w:pStyle w:val="Heading1"/>
      </w:pPr>
      <w:r>
        <w:t>7. International transfers</w:t>
      </w:r>
    </w:p>
    <w:p>
      <w:r>
        <w:t>Personal information is stored and processed in Canada and in GCC countries where the Services are offered. Privacy laws may differ between these locations and from the laws in your country.</w:t>
      </w:r>
    </w:p>
    <w:p>
      <w:r>
        <w:t>When we transfer or allow access to personal information between Canada and GCC countries, we use measures appropriate to the nature of the information and the applicable legal requirements. These measures may include contracts, confidentiality obligations, access controls, role-based permissions, technical safeguards, security monitoring, and data minimization. If a local law requires additional consent, notice, approval, or transfer mechanism, we will take steps designed to meet that requirement.</w:t>
      </w:r>
    </w:p>
    <w:p>
      <w:pPr>
        <w:pStyle w:val="Heading1"/>
      </w:pPr>
      <w:r>
        <w:t>8. How long we keep personal information</w:t>
      </w:r>
    </w:p>
    <w:p>
      <w:r>
        <w:t>We keep personal information only for as long as reasonably necessary for the purposes described in this Privacy Policy, unless a longer retention period is required or permitted by law, contract, audit, security, dispute resolution, or legitimate business needs. Retention periods may vary depending on the type of information and the context.</w:t>
      </w:r>
    </w:p>
    <w:p>
      <w:pPr>
        <w:pStyle w:val="ListBullet"/>
        <w:spacing w:after="60"/>
      </w:pPr>
      <w:r>
        <w:t>Account information is generally kept while the account remains active and for a reasonable period after closure where needed for legal, security, support, or audit purposes.</w:t>
      </w:r>
    </w:p>
    <w:p>
      <w:pPr>
        <w:pStyle w:val="ListBullet"/>
        <w:spacing w:after="60"/>
      </w:pPr>
      <w:r>
        <w:t>Device and event records are kept as needed to provide service history, support, troubleshooting, security, and compliance functions.</w:t>
      </w:r>
    </w:p>
    <w:p>
      <w:pPr>
        <w:pStyle w:val="ListBullet"/>
        <w:spacing w:after="60"/>
      </w:pPr>
      <w:r>
        <w:t>Diagnostic logs and security records are kept for a limited period unless needed longer for investigation, security, or legal reasons.</w:t>
      </w:r>
    </w:p>
    <w:p>
      <w:pPr>
        <w:pStyle w:val="ListBullet"/>
        <w:spacing w:after="60"/>
      </w:pPr>
      <w:r>
        <w:t>When information is no longer needed, we will delete it, anonymize it, or securely dispose of it where reasonably practical.</w:t>
      </w:r>
    </w:p>
    <w:p>
      <w:pPr>
        <w:pStyle w:val="Heading1"/>
      </w:pPr>
      <w:r>
        <w:t>9. Security safeguards</w:t>
      </w:r>
    </w:p>
    <w:p>
      <w:r>
        <w:t>We use administrative, technical, and physical safeguards designed to protect personal information against unauthorized access, collection, use, disclosure, copying, modification, disposal, or similar risks. Safeguards may include encryption in transit, protected credentials, access controls, least-privilege permissions, logging and monitoring, secure development practices, backups, staff training, confidentiality obligations, and vendor security requirements.</w:t>
      </w:r>
    </w:p>
    <w:p>
      <w:r>
        <w:t>No system can be guaranteed to be completely secure. You are responsible for keeping your account credentials confidential, using strong passwords, securing your mobile device, and promptly notifying us if you suspect unauthorized access or misuse.</w:t>
      </w:r>
    </w:p>
    <w:p>
      <w:pPr>
        <w:pStyle w:val="Heading1"/>
      </w:pPr>
      <w:r>
        <w:t>10. Your choices and rights</w:t>
      </w:r>
    </w:p>
    <w:p>
      <w:r>
        <w:t>Depending on your location and applicable law, you may have rights to access, correct, update, delete, or receive a copy of your personal information; withdraw consent; object to or restrict certain processing; and complain to a privacy or data protection authority. These rights may be subject to legal limits, identity verification, security requirements, and retention obligations.</w:t>
      </w:r>
    </w:p>
    <w:p>
      <w:pPr>
        <w:pStyle w:val="ListBullet"/>
        <w:spacing w:after="60"/>
      </w:pPr>
      <w:r>
        <w:rPr>
          <w:b/>
        </w:rPr>
        <w:t xml:space="preserve">Access or correction: </w:t>
      </w:r>
      <w:r>
        <w:t>You may request access to the personal information we hold about you and ask us to correct incomplete or inaccurate information.</w:t>
      </w:r>
    </w:p>
    <w:p>
      <w:pPr>
        <w:pStyle w:val="ListBullet"/>
        <w:spacing w:after="60"/>
      </w:pPr>
      <w:r>
        <w:rPr>
          <w:b/>
        </w:rPr>
        <w:t>Deletion or account closure:</w:t>
      </w:r>
      <w:r>
        <w:t xml:space="preserve"> The App includes an account deletion function. You may initiate account deletion through the App or contact us for assistance. We may retain information where required or permitted by law, security, audit, dispute resolution, or legitimate business needs.</w:t>
      </w:r>
    </w:p>
    <w:p>
      <w:pPr>
        <w:pStyle w:val="ListBullet"/>
        <w:spacing w:after="60"/>
      </w:pPr>
      <w:r>
        <w:rPr>
          <w:b/>
        </w:rPr>
        <w:t xml:space="preserve">Permission controls: </w:t>
      </w:r>
      <w:r>
        <w:t>You can manage camera, photo library, local network, location, and notification permissions in your mobile device settings. Disabling a permission may limit related App functions.</w:t>
      </w:r>
    </w:p>
    <w:p>
      <w:pPr>
        <w:pStyle w:val="ListBullet"/>
        <w:spacing w:after="60"/>
      </w:pPr>
      <w:r>
        <w:rPr>
          <w:b/>
        </w:rPr>
        <w:t xml:space="preserve">Marketing choices: </w:t>
      </w:r>
      <w:r>
        <w:t>If we send marketing communications, you may unsubscribe or opt out where required by law. Service, safety, security, and transactional messages may still be sent when necessary.</w:t>
      </w:r>
    </w:p>
    <w:p>
      <w:pPr>
        <w:pStyle w:val="ListBullet"/>
        <w:spacing w:after="60"/>
      </w:pPr>
      <w:r>
        <w:rPr>
          <w:b/>
        </w:rPr>
        <w:t xml:space="preserve">Complaints: </w:t>
      </w:r>
      <w:r>
        <w:t>You may contact us first so we can try to resolve your concern. You may also have the right to contact the Office of the Privacy Commissioner of Canada or a privacy/data protection authority in your jurisdiction.</w:t>
      </w:r>
    </w:p>
    <w:p>
      <w:pPr>
        <w:pStyle w:val="Heading1"/>
      </w:pPr>
      <w:r>
        <w:t>11. Children</w:t>
      </w:r>
    </w:p>
    <w:p>
      <w:r>
        <w:t>The Services are intended for business, building, fire-safety, installer, distributor, or authorized-user contexts and are not directed to children. We do not knowingly collect personal information from children under 16. If you believe a child has provided personal information to us, please contact us so that we can take appropriate steps.</w:t>
      </w:r>
    </w:p>
    <w:p>
      <w:pPr>
        <w:pStyle w:val="Heading1"/>
      </w:pPr>
      <w:r>
        <w:t>12. Third-party services and links</w:t>
      </w:r>
    </w:p>
    <w:p>
      <w:r>
        <w:t>The Services may interact with mobile operating systems, app stores, cloud providers, push notification services, analytics or diagnostic tools, websites, or other third-party services. Those third parties may process information under their own privacy policies when they act independently. We encourage you to review the privacy settings and policies of your device, operating system, app store, and any third-party services you choose to use.</w:t>
      </w:r>
    </w:p>
    <w:p>
      <w:pPr>
        <w:pStyle w:val="Heading1"/>
      </w:pPr>
      <w:r>
        <w:t>13. Changes to this Privacy Policy</w:t>
      </w:r>
    </w:p>
    <w:p>
      <w:r>
        <w:t>We may update this Privacy Policy from time to time to reflect changes in our Services, operations, technologies, legal requirements, or privacy practices. The "Last updated" date at the top shows when this Privacy Policy was last revised. If changes are material, we will provide notice as required by applicable law, such as through the App, our website, email, or another appropriate method.</w:t>
      </w:r>
    </w:p>
    <w:p>
      <w:pPr>
        <w:pStyle w:val="Heading1"/>
      </w:pPr>
      <w:r>
        <w:t>14. Contact us</w:t>
      </w:r>
    </w:p>
    <w:p>
      <w:r>
        <w:t>To ask questions, exercise privacy rights, or make a privacy complaint, please contact:</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5083"/>
        <w:gridCol w:w="5083"/>
      </w:tblGrid>
      <w:tr>
        <w:tc>
          <w:tcPr>
            <w:tcW w:type="dxa" w:w="5083"/>
            <w:shd w:fill="F2F2F2"/>
          </w:tcPr>
          <w:p>
            <w:pPr>
              <w:spacing w:after="0"/>
            </w:pPr>
            <w:r/>
            <w:r>
              <w:rPr>
                <w:rFonts w:ascii="Arial" w:hAnsi="Arial"/>
                <w:b/>
                <w:sz w:val="18"/>
              </w:rPr>
              <w:t>Company</w:t>
            </w:r>
          </w:p>
        </w:tc>
        <w:tc>
          <w:tcPr>
            <w:tcW w:type="dxa" w:w="5083"/>
          </w:tcPr>
          <w:p>
            <w:pPr>
              <w:spacing w:after="0"/>
            </w:pPr>
            <w:r/>
            <w:r>
              <w:rPr>
                <w:rFonts w:ascii="Arial" w:hAnsi="Arial"/>
                <w:b w:val="0"/>
                <w:sz w:val="18"/>
              </w:rPr>
              <w:t>VELOX Life Safety Inc.</w:t>
            </w:r>
          </w:p>
        </w:tc>
      </w:tr>
      <w:tr>
        <w:tc>
          <w:tcPr>
            <w:tcW w:type="dxa" w:w="5083"/>
            <w:shd w:fill="F2F2F2"/>
          </w:tcPr>
          <w:p>
            <w:pPr>
              <w:spacing w:after="0"/>
            </w:pPr>
            <w:r/>
            <w:r>
              <w:rPr>
                <w:rFonts w:ascii="Arial" w:hAnsi="Arial"/>
                <w:b/>
                <w:sz w:val="18"/>
              </w:rPr>
              <w:t>Address</w:t>
            </w:r>
          </w:p>
        </w:tc>
        <w:tc>
          <w:tcPr>
            <w:tcW w:type="dxa" w:w="5083"/>
          </w:tcPr>
          <w:p>
            <w:pPr>
              <w:spacing w:after="0"/>
            </w:pPr>
            <w:r/>
            <w:r>
              <w:rPr>
                <w:rFonts w:ascii="Arial" w:hAnsi="Arial"/>
                <w:b w:val="0"/>
                <w:sz w:val="18"/>
              </w:rPr>
              <w:t>27 Terracon Place, Winnipeg, Manitoba, R2J 4B3, Canada</w:t>
            </w:r>
          </w:p>
        </w:tc>
      </w:tr>
      <w:tr>
        <w:tc>
          <w:tcPr>
            <w:tcW w:type="dxa" w:w="5083"/>
            <w:shd w:fill="F2F2F2"/>
          </w:tcPr>
          <w:p>
            <w:pPr>
              <w:spacing w:after="0"/>
            </w:pPr>
            <w:r/>
            <w:r>
              <w:rPr>
                <w:rFonts w:ascii="Arial" w:hAnsi="Arial"/>
                <w:b/>
                <w:sz w:val="18"/>
              </w:rPr>
              <w:t>Email</w:t>
            </w:r>
          </w:p>
        </w:tc>
        <w:tc>
          <w:tcPr>
            <w:tcW w:type="dxa" w:w="5083"/>
          </w:tcPr>
          <w:p>
            <w:pPr>
              <w:spacing w:after="0"/>
            </w:pPr>
            <w:r/>
            <w:r>
              <w:rPr>
                <w:rFonts w:ascii="Arial" w:hAnsi="Arial"/>
                <w:b w:val="0"/>
                <w:sz w:val="18"/>
              </w:rPr>
              <w:t>info@velox.ca</w:t>
            </w:r>
          </w:p>
        </w:tc>
      </w:tr>
      <w:tr>
        <w:tc>
          <w:tcPr>
            <w:tcW w:type="dxa" w:w="5083"/>
            <w:shd w:fill="F2F2F2"/>
          </w:tcPr>
          <w:p>
            <w:pPr>
              <w:spacing w:after="0"/>
            </w:pPr>
            <w:r/>
            <w:r>
              <w:rPr>
                <w:rFonts w:ascii="Arial" w:hAnsi="Arial"/>
                <w:b/>
                <w:sz w:val="18"/>
              </w:rPr>
              <w:t>Phone</w:t>
            </w:r>
          </w:p>
        </w:tc>
        <w:tc>
          <w:tcPr>
            <w:tcW w:type="dxa" w:w="5083"/>
          </w:tcPr>
          <w:p>
            <w:pPr>
              <w:spacing w:after="0"/>
            </w:pPr>
            <w:r/>
            <w:r>
              <w:rPr>
                <w:rFonts w:ascii="Arial" w:hAnsi="Arial"/>
                <w:b w:val="0"/>
                <w:sz w:val="18"/>
              </w:rPr>
              <w:t>+1 204 306 3930</w:t>
            </w:r>
          </w:p>
        </w:tc>
      </w:tr>
      <w:tr>
        <w:tc>
          <w:tcPr>
            <w:tcW w:type="dxa" w:w="5083"/>
            <w:shd w:fill="F2F2F2"/>
          </w:tcPr>
          <w:p>
            <w:pPr>
              <w:spacing w:after="0"/>
            </w:pPr>
            <w:r/>
            <w:r>
              <w:rPr>
                <w:rFonts w:ascii="Arial" w:hAnsi="Arial"/>
                <w:b/>
                <w:sz w:val="18"/>
              </w:rPr>
              <w:t>Attention</w:t>
            </w:r>
          </w:p>
        </w:tc>
        <w:tc>
          <w:tcPr>
            <w:tcW w:type="dxa" w:w="5083"/>
          </w:tcPr>
          <w:p>
            <w:pPr>
              <w:spacing w:after="0"/>
            </w:pPr>
            <w:r/>
            <w:r>
              <w:rPr>
                <w:rFonts w:ascii="Arial" w:hAnsi="Arial"/>
                <w:b w:val="0"/>
                <w:sz w:val="18"/>
              </w:rPr>
              <w:t>Chief Information Officer / Privacy Contact</w:t>
            </w:r>
          </w:p>
        </w:tc>
      </w:tr>
    </w:tbl>
    <w:sectPr w:rsidR="00FC693F" w:rsidRPr="0006063C" w:rsidSect="00034616">
      <w:footerReference w:type="default" r:id="rId9"/>
      <w:pgSz w:w="12240" w:h="15840"/>
      <w:pgMar w:top="1008"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t>VELOX CONEKT 365 Privacy Policy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eastAsia="Arial"/>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rial" w:hAnsi="Arial" w:eastAsia="Arial"/>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0000"/>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VELOX CONEKT 365 Privacy Policy</dc:title>
  <dc:subject>Privacy Policy</dc:subject>
  <dc:creator>VELOX Life Safety Inc.</dc:creator>
  <cp:keywords>privacy policy, VELOX CONEKT 365, data protection</cp:keywords>
  <dc:description/>
  <cp:lastModifiedBy/>
  <cp:revision>1</cp:revision>
  <dcterms:created xsi:type="dcterms:W3CDTF">2013-12-23T23:15:00Z</dcterms:created>
  <dcterms:modified xsi:type="dcterms:W3CDTF">2013-12-23T23:15:00Z</dcterms:modified>
  <cp:category/>
</cp:coreProperties>
</file>